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山东华宇工学院创新创业孵化项目</w:t>
      </w:r>
    </w:p>
    <w:p>
      <w:pPr>
        <w:jc w:val="center"/>
      </w:pPr>
      <w:r>
        <w:rPr>
          <w:rFonts w:hint="eastAsia" w:ascii="黑体" w:hAnsi="黑体" w:eastAsia="黑体"/>
          <w:sz w:val="44"/>
          <w:szCs w:val="44"/>
        </w:rPr>
        <w:t>评估考核标准（见习公司）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jc w:val="center"/>
        </w:trPr>
        <w:tc>
          <w:tcPr>
            <w:tcW w:w="0" w:type="auto"/>
            <w:shd w:val="clear" w:color="auto" w:fill="FFFFFF"/>
          </w:tcPr>
          <w:p>
            <w:pPr>
              <w:jc w:val="center"/>
              <w:rPr>
                <w:rFonts w:ascii="黑体" w:hAnsi="黑体" w:eastAsia="黑体"/>
                <w:sz w:val="11"/>
                <w:szCs w:val="11"/>
              </w:rPr>
            </w:pPr>
          </w:p>
          <w:tbl>
            <w:tblPr>
              <w:tblStyle w:val="4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3"/>
              <w:gridCol w:w="567"/>
              <w:gridCol w:w="1555"/>
              <w:gridCol w:w="4391"/>
              <w:gridCol w:w="85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tcBorders>
                    <w:top w:val="inset" w:color="000000" w:sz="6" w:space="0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考核内容</w:t>
                  </w:r>
                </w:p>
              </w:tc>
              <w:tc>
                <w:tcPr>
                  <w:tcW w:w="567" w:type="dxa"/>
                  <w:tcBorders>
                    <w:top w:val="inset" w:color="000000" w:sz="6" w:space="0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分值</w:t>
                  </w:r>
                </w:p>
              </w:tc>
              <w:tc>
                <w:tcPr>
                  <w:tcW w:w="1556" w:type="dxa"/>
                  <w:tcBorders>
                    <w:top w:val="inset" w:color="000000" w:sz="6" w:space="0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具体指标</w:t>
                  </w:r>
                </w:p>
              </w:tc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打分标准</w:t>
                  </w:r>
                </w:p>
              </w:tc>
              <w:tc>
                <w:tcPr>
                  <w:tcW w:w="860" w:type="dxa"/>
                  <w:tcBorders>
                    <w:top w:val="single" w:color="auto" w:sz="4" w:space="0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基准分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restart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ascii="仿宋" w:hAnsi="仿宋" w:eastAsia="仿宋"/>
                      <w:spacing w:val="3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pacing w:val="30"/>
                      <w:sz w:val="24"/>
                      <w:szCs w:val="24"/>
                    </w:rPr>
                    <w:t>公司运作状态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6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0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公司团队人员的到位率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团队人员按创业计划100％到位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15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团队人员按创业计划50％到位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团队人员按创业计划30％到位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4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公司运作情况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公司能在孵化中心正常开展工作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15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公司基本能在孵化中心开展工作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公司没能在孵化中心正常开展工作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0分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管理制度建立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公司管理制度健全，管理规范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公司管理制度基本健全，管理较为规范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6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公司管理制度不健全，管理不规范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市场开拓能力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市场开拓和营销能力较强，已建立营销人员队伍，产品销售正常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市场开拓和营销能力一般，没有专职营销人员，产品销售量较小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6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产品尚未销售或产品销售困难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工作配合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积极配合孵化中心做好各项工作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能够配合孵化中心做好各项工作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6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工作配合较差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0分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restart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公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司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发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展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潜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力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4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0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项目或产品市场前景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市场前景良好，已有合同订单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15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市场前景较好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市场前景不明朗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持续发展能力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持续发展能力强，一年内推出2个以上新产品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15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持续发展能力较强，一年内推出1～2个以上新产品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持续发展能力一般，产品开发存在困难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融资能力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融资能力强，已落实相关融资渠道，公司发展资金有保障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04" w:type="dxa"/>
                  <w:vMerge w:val="continue"/>
                  <w:tcBorders>
                    <w:top w:val="nil"/>
                    <w:left w:val="inset" w:color="000000" w:sz="6" w:space="0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inset" w:color="000000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continue"/>
                  <w:tcBorders>
                    <w:top w:val="nil"/>
                    <w:left w:val="nil"/>
                    <w:bottom w:val="inset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inset" w:color="000000" w:sz="6" w:space="0"/>
                  </w:tcBorders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融资能力较强，已达成相关融资意向，资金不影响当前公司发展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分</w:t>
                  </w:r>
                </w:p>
              </w:tc>
            </w:tr>
          </w:tbl>
          <w:p>
            <w:r>
              <w:rPr>
                <w:rFonts w:hint="eastAsia"/>
              </w:rPr>
              <w:t> 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山东华宇工学院创新创业孵化项目</w:t>
      </w:r>
    </w:p>
    <w:p>
      <w:pPr>
        <w:ind w:firstLine="1760" w:firstLineChars="400"/>
      </w:pPr>
      <w:r>
        <w:rPr>
          <w:rFonts w:hint="eastAsia" w:ascii="黑体" w:hAnsi="黑体" w:eastAsia="黑体"/>
          <w:sz w:val="44"/>
          <w:szCs w:val="44"/>
        </w:rPr>
        <w:t>评估考核标准（法人公司）</w:t>
      </w:r>
    </w:p>
    <w:p>
      <w:pPr>
        <w:jc w:val="center"/>
      </w:pPr>
    </w:p>
    <w:tbl>
      <w:tblPr>
        <w:tblStyle w:val="4"/>
        <w:tblW w:w="822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09"/>
        <w:gridCol w:w="1843"/>
        <w:gridCol w:w="3969"/>
        <w:gridCol w:w="11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黑体" w:hAnsi="黑体" w:eastAsia="黑体"/>
                <w:sz w:val="24"/>
                <w:szCs w:val="24"/>
              </w:rPr>
              <w:t>考核内容</w:t>
            </w:r>
          </w:p>
        </w:tc>
        <w:tc>
          <w:tcPr>
            <w:tcW w:w="70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分值</w:t>
            </w:r>
          </w:p>
        </w:tc>
        <w:tc>
          <w:tcPr>
            <w:tcW w:w="184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具体指标</w:t>
            </w:r>
          </w:p>
        </w:tc>
        <w:tc>
          <w:tcPr>
            <w:tcW w:w="39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打分标准</w:t>
            </w:r>
          </w:p>
        </w:tc>
        <w:tc>
          <w:tcPr>
            <w:tcW w:w="114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基准分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restar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力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注册资本</w:t>
            </w: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3万元（含）～5万元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3万元以下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固定资产</w:t>
            </w: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1万元（含）～2万元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1万元以下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销售收入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（折算成全年）</w:t>
            </w: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万元（含）～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万元以下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实现利润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（折算成全年）</w:t>
            </w: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万元（含）～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万元以下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59" w:type="dxa"/>
            <w:vMerge w:val="restar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力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项目或产品市场前景</w:t>
            </w: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市场前景良好，已有合同订单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市场前景较好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市场前景不明朗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持续发展能力</w:t>
            </w: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持续发展能力强，一年内推出2个以上新产品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持续发展能力较强，一年内推出1～2个以上新产品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持续发展能力一般，产品开发存在困难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融资能力</w:t>
            </w: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融资能力强，已落实相关融资渠道，公司发展资金有保障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融资能力较强，已达成相关融资意向，资金不影响当前公司发展</w:t>
            </w:r>
          </w:p>
        </w:tc>
        <w:tc>
          <w:tcPr>
            <w:tcW w:w="114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6分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6C0"/>
    <w:rsid w:val="000174BC"/>
    <w:rsid w:val="001B6F6F"/>
    <w:rsid w:val="002078C1"/>
    <w:rsid w:val="00293C59"/>
    <w:rsid w:val="00293CBF"/>
    <w:rsid w:val="002A2E92"/>
    <w:rsid w:val="003176D8"/>
    <w:rsid w:val="003472E9"/>
    <w:rsid w:val="003C46C0"/>
    <w:rsid w:val="003E2ED0"/>
    <w:rsid w:val="003E60AC"/>
    <w:rsid w:val="00417466"/>
    <w:rsid w:val="0047374D"/>
    <w:rsid w:val="005038AA"/>
    <w:rsid w:val="005C5873"/>
    <w:rsid w:val="0064676D"/>
    <w:rsid w:val="00692A88"/>
    <w:rsid w:val="006B61DD"/>
    <w:rsid w:val="006E0790"/>
    <w:rsid w:val="006F703F"/>
    <w:rsid w:val="008E73BE"/>
    <w:rsid w:val="00901906"/>
    <w:rsid w:val="00925537"/>
    <w:rsid w:val="00A22DED"/>
    <w:rsid w:val="00A36A8E"/>
    <w:rsid w:val="00A613D6"/>
    <w:rsid w:val="00B27AEA"/>
    <w:rsid w:val="00B54D98"/>
    <w:rsid w:val="00C05B5A"/>
    <w:rsid w:val="00E8347E"/>
    <w:rsid w:val="00F46EAA"/>
    <w:rsid w:val="085557D6"/>
    <w:rsid w:val="11AC050B"/>
    <w:rsid w:val="228B375A"/>
    <w:rsid w:val="24D1321C"/>
    <w:rsid w:val="26B874BB"/>
    <w:rsid w:val="2CE04498"/>
    <w:rsid w:val="38CA317E"/>
    <w:rsid w:val="4A8C7ED5"/>
    <w:rsid w:val="669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190</Words>
  <Characters>1087</Characters>
  <Lines>9</Lines>
  <Paragraphs>2</Paragraphs>
  <TotalTime>22</TotalTime>
  <ScaleCrop>false</ScaleCrop>
  <LinksUpToDate>false</LinksUpToDate>
  <CharactersWithSpaces>1275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2018-08-21T02:06:00Z</dcterms:created>
  <dc:creator>1HU9</dc:creator>
  <cp:lastModifiedBy>海平方</cp:lastModifiedBy>
  <dcterms:modified xsi:type="dcterms:W3CDTF">2020-08-05T15:09:17Z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