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27" w:lineRule="auto"/>
        <w:ind w:firstLine="1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附件</w:t>
      </w:r>
      <w:r>
        <w:rPr>
          <w:rFonts w:ascii="黑体" w:hAnsi="黑体" w:eastAsia="黑体" w:cs="黑体"/>
          <w:spacing w:val="-1"/>
          <w:sz w:val="31"/>
          <w:szCs w:val="31"/>
        </w:rPr>
        <w:t>4</w:t>
      </w:r>
    </w:p>
    <w:p>
      <w:pPr>
        <w:spacing w:before="286" w:line="188" w:lineRule="auto"/>
        <w:ind w:firstLine="2908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6"/>
          <w:sz w:val="43"/>
          <w:szCs w:val="43"/>
        </w:rPr>
        <w:t>山东华宇工学院</w:t>
      </w:r>
      <w:bookmarkStart w:id="0" w:name="_GoBack"/>
      <w:bookmarkEnd w:id="0"/>
    </w:p>
    <w:p>
      <w:pPr>
        <w:spacing w:before="43" w:line="215" w:lineRule="auto"/>
        <w:ind w:firstLine="362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5"/>
          <w:sz w:val="43"/>
          <w:szCs w:val="43"/>
        </w:rPr>
        <w:t>“互联网</w:t>
      </w:r>
      <w:r>
        <w:rPr>
          <w:rFonts w:ascii="微软雅黑" w:hAnsi="微软雅黑" w:eastAsia="微软雅黑" w:cs="微软雅黑"/>
          <w:spacing w:val="4"/>
          <w:sz w:val="43"/>
          <w:szCs w:val="43"/>
        </w:rPr>
        <w:t>+</w:t>
      </w:r>
      <w:r>
        <w:rPr>
          <w:rFonts w:ascii="微软雅黑" w:hAnsi="微软雅黑" w:eastAsia="微软雅黑" w:cs="微软雅黑"/>
          <w:spacing w:val="5"/>
          <w:sz w:val="43"/>
          <w:szCs w:val="43"/>
        </w:rPr>
        <w:t>”大学生创新</w:t>
      </w:r>
      <w:r>
        <w:rPr>
          <w:rFonts w:ascii="微软雅黑" w:hAnsi="微软雅黑" w:eastAsia="微软雅黑" w:cs="微软雅黑"/>
          <w:spacing w:val="4"/>
          <w:sz w:val="43"/>
          <w:szCs w:val="43"/>
        </w:rPr>
        <w:t>创业大赛评审规则</w:t>
      </w:r>
    </w:p>
    <w:p>
      <w:pPr>
        <w:spacing w:line="258" w:lineRule="auto"/>
        <w:rPr>
          <w:rFonts w:ascii="Arial"/>
          <w:sz w:val="21"/>
        </w:rPr>
      </w:pPr>
    </w:p>
    <w:p>
      <w:pPr>
        <w:spacing w:before="91" w:line="219" w:lineRule="auto"/>
        <w:ind w:firstLine="687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z w:val="28"/>
          <w:szCs w:val="28"/>
        </w:rPr>
        <w:t>一</w:t>
      </w:r>
      <w:r>
        <w:rPr>
          <w:rFonts w:ascii="黑体" w:hAnsi="黑体" w:eastAsia="黑体" w:cs="黑体"/>
          <w:spacing w:val="-15"/>
          <w:sz w:val="28"/>
          <w:szCs w:val="28"/>
        </w:rPr>
        <w:t>、</w:t>
      </w:r>
      <w:r>
        <w:rPr>
          <w:rFonts w:ascii="黑体" w:hAnsi="黑体" w:eastAsia="黑体" w:cs="黑体"/>
          <w:sz w:val="28"/>
          <w:szCs w:val="28"/>
        </w:rPr>
        <w:t>创意组项目评审要点</w:t>
      </w:r>
    </w:p>
    <w:p>
      <w:pPr>
        <w:spacing w:line="170" w:lineRule="exact"/>
      </w:pPr>
    </w:p>
    <w:tbl>
      <w:tblPr>
        <w:tblStyle w:val="4"/>
        <w:tblW w:w="87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"/>
        <w:gridCol w:w="6377"/>
        <w:gridCol w:w="8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530" w:type="dxa"/>
            <w:vAlign w:val="top"/>
          </w:tcPr>
          <w:p>
            <w:pPr>
              <w:spacing w:before="136" w:line="229" w:lineRule="auto"/>
              <w:ind w:firstLine="3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评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审要点</w:t>
            </w:r>
          </w:p>
        </w:tc>
        <w:tc>
          <w:tcPr>
            <w:tcW w:w="6377" w:type="dxa"/>
            <w:vAlign w:val="top"/>
          </w:tcPr>
          <w:p>
            <w:pPr>
              <w:spacing w:before="136" w:line="228" w:lineRule="auto"/>
              <w:ind w:firstLine="27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评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审内容</w:t>
            </w:r>
          </w:p>
        </w:tc>
        <w:tc>
          <w:tcPr>
            <w:tcW w:w="854" w:type="dxa"/>
            <w:vAlign w:val="top"/>
          </w:tcPr>
          <w:p>
            <w:pPr>
              <w:spacing w:before="136" w:line="228" w:lineRule="auto"/>
              <w:ind w:firstLine="2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530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62" w:line="229" w:lineRule="auto"/>
              <w:ind w:firstLine="47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创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新性</w:t>
            </w:r>
          </w:p>
        </w:tc>
        <w:tc>
          <w:tcPr>
            <w:tcW w:w="6377" w:type="dxa"/>
            <w:vAlign w:val="top"/>
          </w:tcPr>
          <w:p>
            <w:pPr>
              <w:spacing w:before="89" w:line="243" w:lineRule="auto"/>
              <w:ind w:left="111" w:right="38" w:firstLine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突出原始创意的价值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不鼓励模仿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。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强调利用互联网技术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方法和思维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在销售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研发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生产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物流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信息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人力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管理等方面寻求突破和创新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。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鼓励项目与高校科技成果转移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转化相结合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。</w:t>
            </w:r>
          </w:p>
        </w:tc>
        <w:tc>
          <w:tcPr>
            <w:tcW w:w="854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firstLine="3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1530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before="62" w:line="229" w:lineRule="auto"/>
              <w:ind w:firstLine="3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团队情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况</w:t>
            </w:r>
          </w:p>
        </w:tc>
        <w:tc>
          <w:tcPr>
            <w:tcW w:w="6377" w:type="dxa"/>
            <w:vAlign w:val="top"/>
          </w:tcPr>
          <w:p>
            <w:pPr>
              <w:spacing w:before="48" w:line="235" w:lineRule="auto"/>
              <w:ind w:left="111" w:right="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考察管理团队各成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员的教育和工作背景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价值观念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擅长领域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成员的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分工和业务互补情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况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；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公司的组织构架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人员配置安排是否科学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；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创业</w:t>
            </w:r>
            <w:r>
              <w:rPr>
                <w:rFonts w:ascii="宋体" w:hAnsi="宋体" w:eastAsia="宋体" w:cs="宋体"/>
                <w:sz w:val="19"/>
                <w:szCs w:val="19"/>
              </w:rPr>
              <w:t>顾问，主要投资人和持股情况；战略合作企业及其与本项目的关系，团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队是否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具有实现这种突破的具体方案和可能的资源基础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。</w:t>
            </w:r>
          </w:p>
        </w:tc>
        <w:tc>
          <w:tcPr>
            <w:tcW w:w="854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firstLine="3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</w:trPr>
        <w:tc>
          <w:tcPr>
            <w:tcW w:w="153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62" w:line="229" w:lineRule="auto"/>
              <w:ind w:firstLine="4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商业性</w:t>
            </w:r>
          </w:p>
        </w:tc>
        <w:tc>
          <w:tcPr>
            <w:tcW w:w="6377" w:type="dxa"/>
            <w:vAlign w:val="top"/>
          </w:tcPr>
          <w:p>
            <w:pPr>
              <w:spacing w:before="22" w:line="230" w:lineRule="auto"/>
              <w:ind w:left="111" w:righ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在商业模式方面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强调设计的完整性与可行性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完整地描述商业模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式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，评测其盈利能力推导过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程的合理性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。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在机会识别与利用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竞争与合作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技术基础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产品或服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务设计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资金及人员需求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现行法律法规限制等方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面具有可行性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。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在调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查研究方面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考察行业调查研究程度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项目市场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技术等调查工作是否形成一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手资料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不鼓励文献调查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强调田野调查和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实际操作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检验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。</w:t>
            </w:r>
          </w:p>
        </w:tc>
        <w:tc>
          <w:tcPr>
            <w:tcW w:w="854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firstLine="3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530" w:type="dxa"/>
            <w:vAlign w:val="top"/>
          </w:tcPr>
          <w:p>
            <w:pPr>
              <w:spacing w:before="193" w:line="228" w:lineRule="auto"/>
              <w:ind w:firstLine="1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带动就业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前景</w:t>
            </w:r>
          </w:p>
        </w:tc>
        <w:tc>
          <w:tcPr>
            <w:tcW w:w="6377" w:type="dxa"/>
            <w:vAlign w:val="top"/>
          </w:tcPr>
          <w:p>
            <w:pPr>
              <w:spacing w:before="63"/>
              <w:ind w:left="119" w:right="109" w:hanging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综合考察项目发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展战略和规模扩张策略的合理性和可行性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预判项目可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能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带动社会就业的能力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。</w:t>
            </w:r>
          </w:p>
        </w:tc>
        <w:tc>
          <w:tcPr>
            <w:tcW w:w="854" w:type="dxa"/>
            <w:vAlign w:val="top"/>
          </w:tcPr>
          <w:p>
            <w:pPr>
              <w:spacing w:before="228" w:line="187" w:lineRule="auto"/>
              <w:ind w:firstLine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</w:tr>
    </w:tbl>
    <w:p>
      <w:pPr>
        <w:spacing w:before="331" w:line="219" w:lineRule="auto"/>
        <w:ind w:firstLine="687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z w:val="28"/>
          <w:szCs w:val="28"/>
        </w:rPr>
        <w:t>二</w:t>
      </w:r>
      <w:r>
        <w:rPr>
          <w:rFonts w:ascii="黑体" w:hAnsi="黑体" w:eastAsia="黑体" w:cs="黑体"/>
          <w:spacing w:val="-7"/>
          <w:sz w:val="28"/>
          <w:szCs w:val="28"/>
        </w:rPr>
        <w:t>、</w:t>
      </w:r>
      <w:r>
        <w:rPr>
          <w:rFonts w:ascii="黑体" w:hAnsi="黑体" w:eastAsia="黑体" w:cs="黑体"/>
          <w:sz w:val="28"/>
          <w:szCs w:val="28"/>
        </w:rPr>
        <w:t>初创组</w:t>
      </w:r>
      <w:r>
        <w:rPr>
          <w:rFonts w:ascii="黑体" w:hAnsi="黑体" w:eastAsia="黑体" w:cs="黑体"/>
          <w:spacing w:val="-6"/>
          <w:sz w:val="28"/>
          <w:szCs w:val="28"/>
        </w:rPr>
        <w:t>、</w:t>
      </w:r>
      <w:r>
        <w:rPr>
          <w:rFonts w:ascii="黑体" w:hAnsi="黑体" w:eastAsia="黑体" w:cs="黑体"/>
          <w:sz w:val="28"/>
          <w:szCs w:val="28"/>
        </w:rPr>
        <w:t>成长组项目评审要点</w:t>
      </w:r>
    </w:p>
    <w:p>
      <w:pPr>
        <w:spacing w:line="170" w:lineRule="exact"/>
      </w:pPr>
    </w:p>
    <w:tbl>
      <w:tblPr>
        <w:tblStyle w:val="4"/>
        <w:tblW w:w="87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5"/>
        <w:gridCol w:w="6516"/>
        <w:gridCol w:w="114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105" w:type="dxa"/>
            <w:vAlign w:val="top"/>
          </w:tcPr>
          <w:p>
            <w:pPr>
              <w:spacing w:before="126" w:line="229" w:lineRule="auto"/>
              <w:ind w:firstLine="1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评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审要点</w:t>
            </w:r>
          </w:p>
        </w:tc>
        <w:tc>
          <w:tcPr>
            <w:tcW w:w="6516" w:type="dxa"/>
            <w:vAlign w:val="top"/>
          </w:tcPr>
          <w:p>
            <w:pPr>
              <w:spacing w:before="126" w:line="228" w:lineRule="auto"/>
              <w:ind w:firstLine="28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评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审内容</w:t>
            </w:r>
          </w:p>
        </w:tc>
        <w:tc>
          <w:tcPr>
            <w:tcW w:w="1140" w:type="dxa"/>
            <w:vAlign w:val="top"/>
          </w:tcPr>
          <w:p>
            <w:pPr>
              <w:spacing w:before="126" w:line="228" w:lineRule="auto"/>
              <w:ind w:firstLine="3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5" w:hRule="atLeast"/>
        </w:trPr>
        <w:tc>
          <w:tcPr>
            <w:tcW w:w="110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2" w:line="229" w:lineRule="auto"/>
              <w:ind w:firstLine="2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商业性</w:t>
            </w:r>
          </w:p>
        </w:tc>
        <w:tc>
          <w:tcPr>
            <w:tcW w:w="6516" w:type="dxa"/>
            <w:vAlign w:val="top"/>
          </w:tcPr>
          <w:p>
            <w:pPr>
              <w:spacing w:before="27" w:line="231" w:lineRule="auto"/>
              <w:ind w:left="111" w:righ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在经营绩效方面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重点考察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项目存续时间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项目的营业收入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税收上缴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持续盈利能力、市场份额等情况；以及结合项目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特点制定合适的市场营销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策略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带来良性的业务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利润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总资产收益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净资产收益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销售收入增长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投资与产出比等情况。在成长性方面，重点考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察项目目标市场容量大小及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可扩展性以及该项目是否有合适的计划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和可能性（包括人力资源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资金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z w:val="19"/>
                <w:szCs w:val="19"/>
              </w:rPr>
              <w:t>技术等方面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）</w:t>
            </w:r>
            <w:r>
              <w:rPr>
                <w:rFonts w:ascii="宋体" w:hAnsi="宋体" w:eastAsia="宋体" w:cs="宋体"/>
                <w:sz w:val="19"/>
                <w:szCs w:val="19"/>
              </w:rPr>
              <w:t>支持其未来5年的高速成长。在商业模式方面，强调项目设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计的完整性与可行性，并给出完整的商业模式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描述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以及在机会识别与利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用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竞争与合作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技术基础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产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品或服务设计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资金及人员需求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现行法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律法规限制等方面需具有可行性。在融资方面，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强调融资需求及资金使用</w:t>
            </w:r>
            <w:r>
              <w:rPr>
                <w:rFonts w:ascii="宋体" w:hAnsi="宋体" w:eastAsia="宋体" w:cs="宋体"/>
                <w:sz w:val="19"/>
                <w:szCs w:val="19"/>
              </w:rPr>
              <w:t>规划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。</w:t>
            </w:r>
          </w:p>
        </w:tc>
        <w:tc>
          <w:tcPr>
            <w:tcW w:w="1140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62" w:line="189" w:lineRule="auto"/>
              <w:ind w:firstLine="4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105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62" w:line="229" w:lineRule="auto"/>
              <w:ind w:firstLine="1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团队情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况</w:t>
            </w:r>
          </w:p>
        </w:tc>
        <w:tc>
          <w:tcPr>
            <w:tcW w:w="6516" w:type="dxa"/>
            <w:vAlign w:val="top"/>
          </w:tcPr>
          <w:p>
            <w:pPr>
              <w:spacing w:before="85" w:line="243" w:lineRule="auto"/>
              <w:ind w:left="112" w:right="43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主要考察管理团队各成员有关的教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育和工作背景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价值观念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擅长领域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成员的分工和业务互补情况；公司的组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织构架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人员配置以及领导层成员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；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创业顾问，主要投资人和持股情况；战略合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作企业及其与本项目的关系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。</w:t>
            </w:r>
          </w:p>
        </w:tc>
        <w:tc>
          <w:tcPr>
            <w:tcW w:w="1140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firstLine="4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105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1" w:line="229" w:lineRule="auto"/>
              <w:ind w:firstLine="2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创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新性</w:t>
            </w:r>
          </w:p>
        </w:tc>
        <w:tc>
          <w:tcPr>
            <w:tcW w:w="6516" w:type="dxa"/>
            <w:vAlign w:val="top"/>
          </w:tcPr>
          <w:p>
            <w:pPr>
              <w:spacing w:before="80" w:line="243" w:lineRule="auto"/>
              <w:ind w:left="111" w:right="105" w:firstLine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突出原始创意的价值，不鼓励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模仿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。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强调利用互联网技术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方法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思维在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销售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研发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生产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物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信息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人力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管理等方面寻求突破和创新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。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鼓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励项目与高校科技成果转移转化相结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。</w:t>
            </w:r>
          </w:p>
        </w:tc>
        <w:tc>
          <w:tcPr>
            <w:tcW w:w="1140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61" w:line="189" w:lineRule="auto"/>
              <w:ind w:firstLine="4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5" w:type="dxa"/>
            <w:vAlign w:val="top"/>
          </w:tcPr>
          <w:p>
            <w:pPr>
              <w:spacing w:before="65"/>
              <w:ind w:left="355" w:right="152" w:hanging="1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带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动就业情况</w:t>
            </w:r>
          </w:p>
        </w:tc>
        <w:tc>
          <w:tcPr>
            <w:tcW w:w="6516" w:type="dxa"/>
            <w:vAlign w:val="top"/>
          </w:tcPr>
          <w:p>
            <w:pPr>
              <w:spacing w:before="66" w:line="246" w:lineRule="auto"/>
              <w:ind w:left="128" w:right="106" w:hanging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考察项目增加社会就业份额，发展战略和扩张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的策略合理性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上下产业链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的密切程度和带动效率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其他社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会效益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。</w:t>
            </w:r>
          </w:p>
        </w:tc>
        <w:tc>
          <w:tcPr>
            <w:tcW w:w="1140" w:type="dxa"/>
            <w:vAlign w:val="top"/>
          </w:tcPr>
          <w:p>
            <w:pPr>
              <w:spacing w:before="226" w:line="190" w:lineRule="auto"/>
              <w:ind w:firstLine="4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0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1907" w:h="16839"/>
          <w:pgMar w:top="1431" w:right="1608" w:bottom="1268" w:left="1531" w:header="0" w:footer="989" w:gutter="0"/>
          <w:cols w:space="720" w:num="1"/>
        </w:sectPr>
      </w:pPr>
    </w:p>
    <w:p>
      <w:pPr>
        <w:spacing w:line="294" w:lineRule="auto"/>
        <w:rPr>
          <w:rFonts w:ascii="Arial"/>
          <w:sz w:val="21"/>
        </w:rPr>
      </w:pPr>
    </w:p>
    <w:p>
      <w:pPr>
        <w:spacing w:before="91" w:line="219" w:lineRule="auto"/>
        <w:ind w:firstLine="434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z w:val="28"/>
          <w:szCs w:val="28"/>
        </w:rPr>
        <w:t>三</w:t>
      </w:r>
      <w:r>
        <w:rPr>
          <w:rFonts w:ascii="黑体" w:hAnsi="黑体" w:eastAsia="黑体" w:cs="黑体"/>
          <w:spacing w:val="-15"/>
          <w:sz w:val="28"/>
          <w:szCs w:val="28"/>
        </w:rPr>
        <w:t>、</w:t>
      </w:r>
      <w:r>
        <w:rPr>
          <w:rFonts w:ascii="黑体" w:hAnsi="黑体" w:eastAsia="黑体" w:cs="黑体"/>
          <w:sz w:val="28"/>
          <w:szCs w:val="28"/>
        </w:rPr>
        <w:t>师生共创项目评审要点</w:t>
      </w:r>
    </w:p>
    <w:p>
      <w:pPr>
        <w:spacing w:line="170" w:lineRule="exact"/>
      </w:pPr>
    </w:p>
    <w:tbl>
      <w:tblPr>
        <w:tblStyle w:val="4"/>
        <w:tblW w:w="8315" w:type="dxa"/>
        <w:tblInd w:w="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2"/>
        <w:gridCol w:w="1701"/>
        <w:gridCol w:w="3846"/>
        <w:gridCol w:w="109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672" w:type="dxa"/>
            <w:vAlign w:val="top"/>
          </w:tcPr>
          <w:p>
            <w:pPr>
              <w:spacing w:before="133" w:line="229" w:lineRule="auto"/>
              <w:ind w:firstLine="4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评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审要点</w:t>
            </w:r>
          </w:p>
        </w:tc>
        <w:tc>
          <w:tcPr>
            <w:tcW w:w="1701" w:type="dxa"/>
            <w:vAlign w:val="top"/>
          </w:tcPr>
          <w:p>
            <w:pPr>
              <w:spacing w:before="133" w:line="228" w:lineRule="auto"/>
              <w:ind w:firstLine="4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得分形式</w:t>
            </w:r>
          </w:p>
        </w:tc>
        <w:tc>
          <w:tcPr>
            <w:tcW w:w="3846" w:type="dxa"/>
            <w:vAlign w:val="top"/>
          </w:tcPr>
          <w:p>
            <w:pPr>
              <w:spacing w:before="133" w:line="228" w:lineRule="auto"/>
              <w:ind w:firstLine="15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评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审内容</w:t>
            </w:r>
          </w:p>
        </w:tc>
        <w:tc>
          <w:tcPr>
            <w:tcW w:w="1096" w:type="dxa"/>
            <w:vAlign w:val="top"/>
          </w:tcPr>
          <w:p>
            <w:pPr>
              <w:spacing w:before="133" w:line="228" w:lineRule="auto"/>
              <w:ind w:firstLine="3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672" w:type="dxa"/>
            <w:vMerge w:val="restart"/>
            <w:tcBorders>
              <w:bottom w:val="nil"/>
            </w:tcBorders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2" w:line="229" w:lineRule="auto"/>
              <w:ind w:firstLine="4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目团队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1" w:line="228" w:lineRule="auto"/>
              <w:ind w:firstLine="4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加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总得分</w:t>
            </w:r>
          </w:p>
        </w:tc>
        <w:tc>
          <w:tcPr>
            <w:tcW w:w="3846" w:type="dxa"/>
            <w:vAlign w:val="top"/>
          </w:tcPr>
          <w:p>
            <w:pPr>
              <w:spacing w:before="153" w:line="229" w:lineRule="auto"/>
              <w:ind w:firstLine="1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团队成员互补与协调性</w:t>
            </w:r>
          </w:p>
        </w:tc>
        <w:tc>
          <w:tcPr>
            <w:tcW w:w="1096" w:type="dxa"/>
            <w:vAlign w:val="top"/>
          </w:tcPr>
          <w:p>
            <w:pPr>
              <w:spacing w:before="191" w:line="189" w:lineRule="auto"/>
              <w:ind w:firstLine="4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6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46" w:type="dxa"/>
            <w:vAlign w:val="top"/>
          </w:tcPr>
          <w:p>
            <w:pPr>
              <w:spacing w:before="151" w:line="229" w:lineRule="auto"/>
              <w:ind w:firstLine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组织结构设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置合理性</w:t>
            </w:r>
          </w:p>
        </w:tc>
        <w:tc>
          <w:tcPr>
            <w:tcW w:w="109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67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46" w:type="dxa"/>
            <w:vAlign w:val="top"/>
          </w:tcPr>
          <w:p>
            <w:pPr>
              <w:spacing w:before="154" w:line="228" w:lineRule="auto"/>
              <w:ind w:firstLine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股权结构设置合理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性</w:t>
            </w:r>
          </w:p>
        </w:tc>
        <w:tc>
          <w:tcPr>
            <w:tcW w:w="109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672" w:type="dxa"/>
            <w:vMerge w:val="restart"/>
            <w:tcBorders>
              <w:bottom w:val="nil"/>
            </w:tcBorders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62" w:line="229" w:lineRule="auto"/>
              <w:ind w:firstLine="5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商业性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62" w:line="228" w:lineRule="auto"/>
              <w:ind w:firstLine="4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加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总得分</w:t>
            </w:r>
          </w:p>
        </w:tc>
        <w:tc>
          <w:tcPr>
            <w:tcW w:w="3846" w:type="dxa"/>
            <w:vAlign w:val="top"/>
          </w:tcPr>
          <w:p>
            <w:pPr>
              <w:spacing w:before="152" w:line="228" w:lineRule="auto"/>
              <w:ind w:firstLine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生存性和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盈利能力</w:t>
            </w:r>
          </w:p>
        </w:tc>
        <w:tc>
          <w:tcPr>
            <w:tcW w:w="1096" w:type="dxa"/>
            <w:vAlign w:val="top"/>
          </w:tcPr>
          <w:p>
            <w:pPr>
              <w:spacing w:before="192" w:line="189" w:lineRule="auto"/>
              <w:ind w:firstLine="4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6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46" w:type="dxa"/>
            <w:vAlign w:val="top"/>
          </w:tcPr>
          <w:p>
            <w:pPr>
              <w:spacing w:before="155" w:line="228" w:lineRule="auto"/>
              <w:ind w:firstLine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可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行性和完整性</w:t>
            </w:r>
          </w:p>
        </w:tc>
        <w:tc>
          <w:tcPr>
            <w:tcW w:w="109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67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46" w:type="dxa"/>
            <w:vAlign w:val="top"/>
          </w:tcPr>
          <w:p>
            <w:pPr>
              <w:spacing w:before="153" w:line="229" w:lineRule="auto"/>
              <w:ind w:firstLine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可复制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性</w:t>
            </w:r>
          </w:p>
        </w:tc>
        <w:tc>
          <w:tcPr>
            <w:tcW w:w="109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672" w:type="dxa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61" w:line="229" w:lineRule="auto"/>
              <w:ind w:firstLine="5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创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新性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62" w:line="253" w:lineRule="auto"/>
              <w:ind w:left="165" w:right="151" w:firstLine="2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单项得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分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（满足任一单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项</w:t>
            </w:r>
          </w:p>
          <w:p>
            <w:pPr>
              <w:spacing w:line="228" w:lineRule="auto"/>
              <w:ind w:firstLine="4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得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满分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）</w:t>
            </w:r>
          </w:p>
        </w:tc>
        <w:tc>
          <w:tcPr>
            <w:tcW w:w="3846" w:type="dxa"/>
            <w:vAlign w:val="top"/>
          </w:tcPr>
          <w:p>
            <w:pPr>
              <w:spacing w:before="156" w:line="229" w:lineRule="auto"/>
              <w:ind w:firstLine="1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岗位创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新</w:t>
            </w:r>
          </w:p>
        </w:tc>
        <w:tc>
          <w:tcPr>
            <w:tcW w:w="1096" w:type="dxa"/>
            <w:vAlign w:val="top"/>
          </w:tcPr>
          <w:p>
            <w:pPr>
              <w:spacing w:before="194" w:line="189" w:lineRule="auto"/>
              <w:ind w:firstLine="4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6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46" w:type="dxa"/>
            <w:vAlign w:val="top"/>
          </w:tcPr>
          <w:p>
            <w:pPr>
              <w:spacing w:before="154" w:line="229" w:lineRule="auto"/>
              <w:ind w:firstLine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技能创新</w:t>
            </w:r>
          </w:p>
        </w:tc>
        <w:tc>
          <w:tcPr>
            <w:tcW w:w="109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6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46" w:type="dxa"/>
            <w:vAlign w:val="top"/>
          </w:tcPr>
          <w:p>
            <w:pPr>
              <w:spacing w:before="158" w:line="228" w:lineRule="auto"/>
              <w:ind w:firstLine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技术创新</w:t>
            </w:r>
          </w:p>
        </w:tc>
        <w:tc>
          <w:tcPr>
            <w:tcW w:w="10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6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46" w:type="dxa"/>
            <w:vAlign w:val="top"/>
          </w:tcPr>
          <w:p>
            <w:pPr>
              <w:spacing w:before="155" w:line="228" w:lineRule="auto"/>
              <w:ind w:firstLine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产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业协同创新</w:t>
            </w:r>
          </w:p>
        </w:tc>
        <w:tc>
          <w:tcPr>
            <w:tcW w:w="10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67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46" w:type="dxa"/>
            <w:vAlign w:val="top"/>
          </w:tcPr>
          <w:p>
            <w:pPr>
              <w:spacing w:before="158" w:line="228" w:lineRule="auto"/>
              <w:ind w:firstLine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模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式创新</w:t>
            </w:r>
          </w:p>
        </w:tc>
        <w:tc>
          <w:tcPr>
            <w:tcW w:w="109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672" w:type="dxa"/>
            <w:vMerge w:val="restart"/>
            <w:tcBorders>
              <w:bottom w:val="nil"/>
            </w:tcBorders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spacing w:before="62" w:line="228" w:lineRule="auto"/>
              <w:ind w:firstLine="4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带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动就业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spacing w:before="62" w:line="228" w:lineRule="auto"/>
              <w:ind w:firstLine="4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加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总得分</w:t>
            </w:r>
          </w:p>
        </w:tc>
        <w:tc>
          <w:tcPr>
            <w:tcW w:w="3846" w:type="dxa"/>
            <w:vAlign w:val="top"/>
          </w:tcPr>
          <w:p>
            <w:pPr>
              <w:spacing w:before="110" w:line="249" w:lineRule="auto"/>
              <w:ind w:left="114" w:right="139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与当地经济发展紧密结合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，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促进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区域社会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经济转型升级</w:t>
            </w:r>
          </w:p>
        </w:tc>
        <w:tc>
          <w:tcPr>
            <w:tcW w:w="1096" w:type="dxa"/>
            <w:vAlign w:val="top"/>
          </w:tcPr>
          <w:p>
            <w:pPr>
              <w:spacing w:before="270" w:line="189" w:lineRule="auto"/>
              <w:ind w:firstLine="4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67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46" w:type="dxa"/>
            <w:vAlign w:val="top"/>
          </w:tcPr>
          <w:p>
            <w:pPr>
              <w:spacing w:before="146" w:line="228" w:lineRule="auto"/>
              <w:ind w:firstLine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带动就业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人数</w:t>
            </w:r>
          </w:p>
        </w:tc>
        <w:tc>
          <w:tcPr>
            <w:tcW w:w="10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330" w:line="219" w:lineRule="auto"/>
        <w:ind w:firstLine="445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z w:val="28"/>
          <w:szCs w:val="28"/>
        </w:rPr>
        <w:t>四</w:t>
      </w:r>
      <w:r>
        <w:rPr>
          <w:rFonts w:ascii="黑体" w:hAnsi="黑体" w:eastAsia="黑体" w:cs="黑体"/>
          <w:spacing w:val="-25"/>
          <w:sz w:val="28"/>
          <w:szCs w:val="28"/>
        </w:rPr>
        <w:t>、</w:t>
      </w:r>
      <w:r>
        <w:rPr>
          <w:rFonts w:ascii="黑体" w:hAnsi="黑体" w:eastAsia="黑体" w:cs="黑体"/>
          <w:sz w:val="28"/>
          <w:szCs w:val="28"/>
        </w:rPr>
        <w:t>评分标准</w:t>
      </w:r>
    </w:p>
    <w:p>
      <w:pPr>
        <w:spacing w:before="282" w:line="220" w:lineRule="auto"/>
        <w:ind w:firstLine="34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评分标准</w:t>
      </w:r>
      <w:r>
        <w:rPr>
          <w:rFonts w:ascii="宋体" w:hAnsi="宋体" w:eastAsia="宋体" w:cs="宋体"/>
          <w:spacing w:val="-60"/>
          <w:sz w:val="24"/>
          <w:szCs w:val="24"/>
        </w:rPr>
        <w:t>：</w:t>
      </w:r>
      <w:r>
        <w:rPr>
          <w:rFonts w:ascii="宋体" w:hAnsi="宋体" w:eastAsia="宋体" w:cs="宋体"/>
          <w:sz w:val="24"/>
          <w:szCs w:val="24"/>
        </w:rPr>
        <w:t>优秀</w:t>
      </w:r>
      <w:r>
        <w:rPr>
          <w:rFonts w:ascii="宋体" w:hAnsi="宋体" w:eastAsia="宋体" w:cs="宋体"/>
          <w:spacing w:val="-60"/>
          <w:sz w:val="24"/>
          <w:szCs w:val="24"/>
        </w:rPr>
        <w:t>：</w:t>
      </w:r>
      <w:r>
        <w:rPr>
          <w:rFonts w:ascii="宋体" w:hAnsi="宋体" w:eastAsia="宋体" w:cs="宋体"/>
          <w:sz w:val="24"/>
          <w:szCs w:val="24"/>
        </w:rPr>
        <w:t>100—85分</w:t>
      </w:r>
      <w:r>
        <w:rPr>
          <w:rFonts w:ascii="宋体" w:hAnsi="宋体" w:eastAsia="宋体" w:cs="宋体"/>
          <w:spacing w:val="-60"/>
          <w:sz w:val="24"/>
          <w:szCs w:val="24"/>
        </w:rPr>
        <w:t>，</w:t>
      </w:r>
      <w:r>
        <w:rPr>
          <w:rFonts w:ascii="宋体" w:hAnsi="宋体" w:eastAsia="宋体" w:cs="宋体"/>
          <w:sz w:val="24"/>
          <w:szCs w:val="24"/>
        </w:rPr>
        <w:t>良好</w:t>
      </w:r>
      <w:r>
        <w:rPr>
          <w:rFonts w:ascii="宋体" w:hAnsi="宋体" w:eastAsia="宋体" w:cs="宋体"/>
          <w:spacing w:val="-60"/>
          <w:sz w:val="24"/>
          <w:szCs w:val="24"/>
        </w:rPr>
        <w:t>：</w:t>
      </w:r>
      <w:r>
        <w:rPr>
          <w:rFonts w:ascii="宋体" w:hAnsi="宋体" w:eastAsia="宋体" w:cs="宋体"/>
          <w:sz w:val="24"/>
          <w:szCs w:val="24"/>
        </w:rPr>
        <w:t>85—70分</w:t>
      </w:r>
      <w:r>
        <w:rPr>
          <w:rFonts w:ascii="宋体" w:hAnsi="宋体" w:eastAsia="宋体" w:cs="宋体"/>
          <w:spacing w:val="-60"/>
          <w:sz w:val="24"/>
          <w:szCs w:val="24"/>
        </w:rPr>
        <w:t>，</w:t>
      </w:r>
      <w:r>
        <w:rPr>
          <w:rFonts w:ascii="宋体" w:hAnsi="宋体" w:eastAsia="宋体" w:cs="宋体"/>
          <w:sz w:val="24"/>
          <w:szCs w:val="24"/>
        </w:rPr>
        <w:t>一般</w:t>
      </w:r>
      <w:r>
        <w:rPr>
          <w:rFonts w:ascii="宋体" w:hAnsi="宋体" w:eastAsia="宋体" w:cs="宋体"/>
          <w:spacing w:val="-60"/>
          <w:sz w:val="24"/>
          <w:szCs w:val="24"/>
        </w:rPr>
        <w:t>：</w:t>
      </w:r>
      <w:r>
        <w:rPr>
          <w:rFonts w:ascii="宋体" w:hAnsi="宋体" w:eastAsia="宋体" w:cs="宋体"/>
          <w:sz w:val="24"/>
          <w:szCs w:val="24"/>
        </w:rPr>
        <w:t>70—55分</w:t>
      </w:r>
      <w:r>
        <w:rPr>
          <w:rFonts w:ascii="宋体" w:hAnsi="宋体" w:eastAsia="宋体" w:cs="宋体"/>
          <w:spacing w:val="-60"/>
          <w:sz w:val="24"/>
          <w:szCs w:val="24"/>
        </w:rPr>
        <w:t>，</w:t>
      </w:r>
      <w:r>
        <w:rPr>
          <w:rFonts w:ascii="宋体" w:hAnsi="宋体" w:eastAsia="宋体" w:cs="宋体"/>
          <w:sz w:val="24"/>
          <w:szCs w:val="24"/>
        </w:rPr>
        <w:t>差</w:t>
      </w:r>
      <w:r>
        <w:rPr>
          <w:rFonts w:ascii="宋体" w:hAnsi="宋体" w:eastAsia="宋体" w:cs="宋体"/>
          <w:spacing w:val="-60"/>
          <w:sz w:val="24"/>
          <w:szCs w:val="24"/>
        </w:rPr>
        <w:t>：</w:t>
      </w:r>
      <w:r>
        <w:rPr>
          <w:rFonts w:ascii="宋体" w:hAnsi="宋体" w:eastAsia="宋体" w:cs="宋体"/>
          <w:sz w:val="24"/>
          <w:szCs w:val="24"/>
        </w:rPr>
        <w:t>55—0</w:t>
      </w:r>
      <w:r>
        <w:rPr>
          <w:rFonts w:ascii="宋体" w:hAnsi="宋体" w:eastAsia="宋体" w:cs="宋体"/>
          <w:spacing w:val="-60"/>
          <w:sz w:val="24"/>
          <w:szCs w:val="24"/>
        </w:rPr>
        <w:t>。</w:t>
      </w:r>
    </w:p>
    <w:p/>
    <w:sectPr>
      <w:footerReference r:id="rId6" w:type="default"/>
      <w:pgSz w:w="11907" w:h="16839"/>
      <w:pgMar w:top="1431" w:right="1553" w:bottom="1268" w:left="1785" w:header="0" w:footer="9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firstLine="387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—10—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firstLine="36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—11—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20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瑞欣</cp:lastModifiedBy>
  <dcterms:modified xsi:type="dcterms:W3CDTF">2022-01-13T08:22:03Z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77BC1D11E6B949EB917806DCE06C12B6</vt:lpwstr>
  </property>
</Properties>
</file>